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color w:val="071A3A"/>
          <w:sz w:val="44"/>
        </w:rPr>
        <w:t>Service-Pass Rechtstexte Paket</w:t>
      </w:r>
    </w:p>
    <w:p>
      <w:r>
        <w:rPr>
          <w:rFonts w:ascii="Arial" w:hAnsi="Arial"/>
          <w:color w:val="5A6478"/>
          <w:sz w:val="20"/>
        </w:rPr>
        <w:t>Pilotfassung für Impressum, Datenschutz, Sicherheit/TOMs, AVV-Hinweis und Nutzungsbedingungen.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EFF7FF"/>
            <w:tcBorders>
              <w:top w:val="single" w:sz="8" w:space="0" w:color="D9E7F5"/>
              <w:left w:val="single" w:sz="8" w:space="0" w:color="D9E7F5"/>
              <w:bottom w:val="single" w:sz="8" w:space="0" w:color="D9E7F5"/>
              <w:right w:val="single" w:sz="8" w:space="0" w:color="D9E7F5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00AEEF"/>
                <w:sz w:val="13"/>
              </w:rPr>
              <w:t>DOKUMENT</w:t>
              <w:br/>
            </w:r>
            <w:r>
              <w:rPr>
                <w:b/>
                <w:color w:val="071A3A"/>
                <w:sz w:val="17"/>
              </w:rPr>
              <w:t>Service-Pass Rechtstexte Paket</w:t>
            </w:r>
          </w:p>
        </w:tc>
        <w:tc>
          <w:tcPr>
            <w:tcW w:type="dxa" w:w="3456"/>
            <w:shd w:fill="EFF7FF"/>
            <w:tcBorders>
              <w:top w:val="single" w:sz="8" w:space="0" w:color="D9E7F5"/>
              <w:left w:val="single" w:sz="8" w:space="0" w:color="D9E7F5"/>
              <w:bottom w:val="single" w:sz="8" w:space="0" w:color="D9E7F5"/>
              <w:right w:val="single" w:sz="8" w:space="0" w:color="D9E7F5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00AEEF"/>
                <w:sz w:val="13"/>
              </w:rPr>
              <w:t>STAND</w:t>
              <w:br/>
            </w:r>
            <w:r>
              <w:rPr>
                <w:b/>
                <w:color w:val="071A3A"/>
                <w:sz w:val="17"/>
              </w:rPr>
              <w:t>Juli 2026</w:t>
            </w:r>
          </w:p>
        </w:tc>
        <w:tc>
          <w:tcPr>
            <w:tcW w:type="dxa" w:w="3456"/>
            <w:shd w:fill="EFF7FF"/>
            <w:tcBorders>
              <w:top w:val="single" w:sz="8" w:space="0" w:color="D9E7F5"/>
              <w:left w:val="single" w:sz="8" w:space="0" w:color="D9E7F5"/>
              <w:bottom w:val="single" w:sz="8" w:space="0" w:color="D9E7F5"/>
              <w:right w:val="single" w:sz="8" w:space="0" w:color="D9E7F5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00AEEF"/>
                <w:sz w:val="13"/>
              </w:rPr>
              <w:t>NR.</w:t>
              <w:br/>
            </w:r>
            <w:r>
              <w:rPr>
                <w:b/>
                <w:color w:val="071A3A"/>
                <w:sz w:val="17"/>
              </w:rPr>
              <w:t>SP-LEGAL-2026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FF8E6"/>
            <w:tcBorders>
              <w:top w:val="single" w:sz="8" w:space="0" w:color="F2C36B"/>
              <w:left w:val="single" w:sz="8" w:space="0" w:color="F2C36B"/>
              <w:bottom w:val="single" w:sz="8" w:space="0" w:color="F2C36B"/>
              <w:right w:val="single" w:sz="8" w:space="0" w:color="F2C36B"/>
            </w:tcBorders>
          </w:tcPr>
          <w:p>
            <w:pPr>
              <w:spacing w:after="40"/>
            </w:pPr>
            <w:r>
              <w:rPr>
                <w:b/>
                <w:color w:val="784C00"/>
                <w:sz w:val="17"/>
              </w:rPr>
              <w:t xml:space="preserve">Wichtiger Hinweis: </w:t>
            </w:r>
            <w:r>
              <w:rPr>
                <w:color w:val="463714"/>
                <w:sz w:val="17"/>
              </w:rPr>
              <w:t>Rechtstexte müssen mit den echten Anbieterangaben, eingesetzten Dienstleistern, Unterauftragsverarbeitern, Cookies, Hosting-Orten und Datenschutzprozessen abgeglichen werden. Diese Fassung ist eine professionelle Arbeitsgrundlage, keine anwaltliche Freigabe.</w:t>
            </w:r>
          </w:p>
        </w:tc>
      </w:tr>
    </w:tbl>
    <w:p/>
    <w:p>
      <w:pPr>
        <w:pStyle w:val="Heading2"/>
      </w:pPr>
      <w:r>
        <w:t>1. Impressum / Anbieterkennzeichnung</w:t>
      </w:r>
    </w:p>
    <w:p>
      <w:r>
        <w:t>Anbieter: Service-Pass / Ioannis Daskalidis, [vollständige ladungsfähige Anschrift], 89584 Ehingen, Deutschland. Kontakt: info@service-pass.eu, Telefon: [Telefonnummer]. Verantwortlich für Inhalte: Ioannis Daskalidis. USt-IdNr./Steuernummer: [ergänzen, sofern erforderlich].</w:t>
      </w:r>
    </w:p>
    <w:p>
      <w:pPr>
        <w:pStyle w:val="Heading2"/>
      </w:pPr>
      <w:r>
        <w:t>2. Datenschutzerklärung - Kurzstruktur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Verantwortlicher und Kontakt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Zwecke: Pilotanfragen, Plattformbetrieb, Schadensmeldungen, Kommunikation, Dokumentation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Rechtsgrundlagen: Vertrag/vorvertragliche Maßnahmen, berechtigte Interessen, rechtliche Pflichten, Einwilligung soweit erforderlich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Datenkategorien: Kontakt, Objekt, Ticket, Kommunikation, Fotos, Dokumente, Login-/Protokolldaten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Empfänger: Hosting, Datenbank, E-Mail, Support, beauftragte Dienstleister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Speicherdauer/Löschung: nach Zweck, Vertrag, gesetzlichen Fristen und Löschkonzept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Betroffenenrechte: Auskunft, Berichtigung, Löschung, Einschränkung, Datenübertragbarkeit, Widerspruch, Beschwerde</w:t>
      </w:r>
    </w:p>
    <w:p>
      <w:pPr>
        <w:pStyle w:val="Heading2"/>
      </w:pPr>
      <w:r>
        <w:t>3. Sicherheit / TOMs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Rollenbasierte Zugriffsrechte und Mandantentrennung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Authentifizierung für registrierte Nutzer; QR-Token für Meldungen ohne Login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TLS-verschlüsselte Übertragung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Protokollierung von Vorgängen und Statusänderungen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Datensparsamkeit und Hinweise bei Foto-Uploads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Berechtigungskonzept für Eigentümer, Dienstleister, Verwaltung und Mitarbeiter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Backup-/Recovery- und Löschkonzept vor Produktivbetrieb finalisieren</w:t>
      </w:r>
    </w:p>
    <w:p>
      <w:pPr>
        <w:pStyle w:val="Heading2"/>
      </w:pPr>
      <w:r>
        <w:t>4. AVV-Hinweis</w:t>
      </w:r>
    </w:p>
    <w:p>
      <w:r>
        <w:t>Hausverwaltungen bleiben Verantwortliche im Sinne der DSGVO. Service-Pass agiert bei Plattformbetrieb regelmäßig als Auftragsverarbeiter, soweit personenbezogene Daten im Auftrag verarbeitet werden. Vor Produktivbetrieb ist eine AVV mit Gegenstand, Dauer, Zweck, Datenarten, Betroffenengruppen, TOMs, Unterauftragsverarbeitern, Löschung/Rückgabe und Kontrollrechten abzuschließen.</w:t>
      </w:r>
    </w:p>
    <w:p>
      <w:pPr>
        <w:pStyle w:val="Heading2"/>
      </w:pPr>
      <w:r>
        <w:t>5. Nutzungsbedingungen / Pilotbedingungen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Service-Pass ist in der Pilotphase ein Testprodukt ohne zugesicherte Vollständigkeit aller Funktionen.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Der Nutzer ist für Richtigkeit der Eingaben, Berechtigungen und Freigaben verantwortlich.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Dokumente und Finanzwerte sind vor externer Verwendung zu prüfen.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Zugangsdaten sind geheim zu halten. Rollenrechte dürfen nicht umgangen werden.</w:t>
      </w:r>
    </w:p>
    <w:p>
      <w:pPr>
        <w:ind w:left="259" w:hanging="259"/>
      </w:pPr>
      <w:r>
        <w:rPr>
          <w:color w:val="00AEEF"/>
        </w:rPr>
        <w:t xml:space="preserve">• </w:t>
      </w:r>
      <w:r>
        <w:t>Missbräuchliche Nutzung, rechtswidrige Inhalte und unnötige personenbezogene Daten sind unzulässig.</w:t>
      </w:r>
    </w:p>
    <w:p>
      <w:pPr>
        <w:pStyle w:val="Heading2"/>
      </w:pPr>
      <w:r>
        <w:t>6. Dokumentenhinweise</w:t>
      </w:r>
    </w:p>
    <w:p>
      <w:r>
        <w:t>Automatisch erzeugte PDFs enthalten ein Ausstellungsdatum, Nummernkreis, beteiligte Parteien und einen Hinweis „erstellt mit Service-Pass“. Bei Angeboten, Verträgen und Rechnungen sind die jeweiligen Pflichtangaben des Ausstellers einzutragen und zu prüfen.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88291"/>
        <w:sz w:val="14"/>
      </w:rPr>
      <w:t>Service-Pass | Pilotfassung | Stand: Juli 2026 | Entwurf - bitte vor produktiver Nutzung juristisch prüfen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691640" cy="614416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rvice-pass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614416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5A6478"/>
        <w:sz w:val="16"/>
      </w:rPr>
      <w:t xml:space="preserve">   Rechtstexte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hAnsi="Arial"/>
      <w:color w:val="14182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071A3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071A3A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071A3A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